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377" w14:textId="77777777" w:rsidR="0084777C" w:rsidRPr="0084777C" w:rsidRDefault="0084777C" w:rsidP="0084777C">
      <w:pPr>
        <w:shd w:val="clear" w:color="auto" w:fill="FFFFFF"/>
        <w:spacing w:after="100" w:afterAutospacing="1"/>
        <w:outlineLvl w:val="2"/>
        <w:rPr>
          <w:rFonts w:ascii="Source Sans Pro" w:eastAsia="Times New Roman" w:hAnsi="Source Sans Pro" w:cs="Times New Roman"/>
          <w:color w:val="3095D8"/>
          <w:sz w:val="27"/>
          <w:szCs w:val="27"/>
        </w:rPr>
      </w:pPr>
      <w:r w:rsidRPr="0084777C">
        <w:rPr>
          <w:rFonts w:ascii="Source Sans Pro" w:eastAsia="Times New Roman" w:hAnsi="Source Sans Pro" w:cs="Times New Roman"/>
          <w:color w:val="3095D8"/>
          <w:sz w:val="27"/>
          <w:szCs w:val="27"/>
        </w:rPr>
        <w:t>De onderwerpen die worden behandeld zijn:</w:t>
      </w:r>
    </w:p>
    <w:p w14:paraId="23BDB458" w14:textId="77777777" w:rsidR="0084777C" w:rsidRPr="0084777C" w:rsidRDefault="0084777C" w:rsidP="0084777C">
      <w:pPr>
        <w:shd w:val="clear" w:color="auto" w:fill="FFFFFF"/>
        <w:spacing w:after="100" w:afterAutospacing="1" w:line="300" w:lineRule="atLeast"/>
        <w:rPr>
          <w:rFonts w:ascii="Source Sans Pro" w:eastAsia="Times New Roman" w:hAnsi="Source Sans Pro" w:cs="Times New Roman"/>
          <w:color w:val="697689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697689"/>
          <w:sz w:val="21"/>
          <w:szCs w:val="21"/>
        </w:rPr>
        <w:t>Inrichten van een bedrijf en salaris processen:</w:t>
      </w:r>
    </w:p>
    <w:p w14:paraId="3FBC4E0A" w14:textId="77777777" w:rsidR="0084777C" w:rsidRPr="0084777C" w:rsidRDefault="0084777C" w:rsidP="00847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Aanmaken en inrichten van een bedrijf op een efficiënte manier</w:t>
      </w:r>
    </w:p>
    <w:p w14:paraId="360AA6B5" w14:textId="77777777" w:rsidR="0084777C" w:rsidRPr="0084777C" w:rsidRDefault="0084777C" w:rsidP="00847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Aanmaken van een eigen brancheregeling en pensioen instellingen</w:t>
      </w:r>
    </w:p>
    <w:p w14:paraId="51AA35C2" w14:textId="77777777" w:rsidR="0084777C" w:rsidRPr="0084777C" w:rsidRDefault="0084777C" w:rsidP="00847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Verwerken van afwijkende salaris cases (medewerkersniveau)</w:t>
      </w:r>
    </w:p>
    <w:p w14:paraId="09DD42AC" w14:textId="77777777" w:rsidR="0084777C" w:rsidRPr="0084777C" w:rsidRDefault="0084777C" w:rsidP="00847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Correcties draaien over eerdere periode(n)</w:t>
      </w:r>
    </w:p>
    <w:p w14:paraId="0853893E" w14:textId="77777777" w:rsidR="0084777C" w:rsidRPr="0084777C" w:rsidRDefault="0084777C" w:rsidP="00847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Verwerken van een loonaangifte</w:t>
      </w:r>
    </w:p>
    <w:p w14:paraId="07C4D150" w14:textId="77777777" w:rsidR="0084777C" w:rsidRPr="0084777C" w:rsidRDefault="0084777C" w:rsidP="00847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Output van HR documenten kunnen gebruiken en interpreteren</w:t>
      </w:r>
    </w:p>
    <w:p w14:paraId="249EAFF9" w14:textId="77777777" w:rsidR="0084777C" w:rsidRPr="0084777C" w:rsidRDefault="0084777C" w:rsidP="0084777C">
      <w:pPr>
        <w:shd w:val="clear" w:color="auto" w:fill="FFFFFF"/>
        <w:spacing w:after="100" w:afterAutospacing="1" w:line="300" w:lineRule="atLeast"/>
        <w:rPr>
          <w:rFonts w:ascii="Source Sans Pro" w:eastAsia="Times New Roman" w:hAnsi="Source Sans Pro" w:cs="Times New Roman"/>
          <w:color w:val="697689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697689"/>
          <w:sz w:val="21"/>
          <w:szCs w:val="21"/>
        </w:rPr>
        <w:t>Inrichten van klantscenario's en HR functionaliteiten</w:t>
      </w:r>
    </w:p>
    <w:p w14:paraId="76D1A8FD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Uitrollen van klantscenario's en bijbehorende logins</w:t>
      </w:r>
    </w:p>
    <w:p w14:paraId="644CE154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Workflow instellingen inrichten</w:t>
      </w:r>
    </w:p>
    <w:p w14:paraId="746D313F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Verlof instellingen inrichten</w:t>
      </w:r>
    </w:p>
    <w:p w14:paraId="1C074702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Managers en afdelingen inrichten</w:t>
      </w:r>
    </w:p>
    <w:p w14:paraId="5E3BDAC9" w14:textId="02C56774" w:rsid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Mutatieformulieren inrichten en beoordelingsketen bepalen</w:t>
      </w: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br/>
        <w:t> </w:t>
      </w:r>
    </w:p>
    <w:p w14:paraId="6A1E87CF" w14:textId="20475BA8" w:rsidR="0084777C" w:rsidRPr="0084777C" w:rsidRDefault="0084777C" w:rsidP="0084777C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>
        <w:rPr>
          <w:rFonts w:ascii="Source Sans Pro" w:eastAsia="Times New Roman" w:hAnsi="Source Sans Pro" w:cs="Times New Roman"/>
          <w:color w:val="7E89A3"/>
          <w:sz w:val="21"/>
          <w:szCs w:val="21"/>
        </w:rPr>
        <w:t>Dit zou je moeten kunnen na afloop van de training</w:t>
      </w:r>
      <w:bookmarkStart w:id="0" w:name="_GoBack"/>
      <w:bookmarkEnd w:id="0"/>
    </w:p>
    <w:p w14:paraId="27218B89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Inrichten van een omgeving (d.m.v. import/export, wizards)</w:t>
      </w:r>
    </w:p>
    <w:p w14:paraId="4CF2C7A8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Verschil weten tussen master-, debiteur-, bedrijf- en medewerker instellingen</w:t>
      </w:r>
    </w:p>
    <w:p w14:paraId="18E25D69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Efficiënt verwerken van salarismutaties (import/export, snelinvoer)</w:t>
      </w:r>
    </w:p>
    <w:p w14:paraId="3F2655C5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Aanmaken van een eigen brancheregeling</w:t>
      </w:r>
    </w:p>
    <w:p w14:paraId="3CB52B20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Kunnen verwerken van afwijkende salaris instellingen (branche afwijkingen, verwerken van ziekte en (ouderschaps)verlof) </w:t>
      </w:r>
    </w:p>
    <w:p w14:paraId="0D444C2F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Draaien van correcties in het huidige en voorgaande jaar</w:t>
      </w:r>
    </w:p>
    <w:p w14:paraId="102B6D96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Loonaangifte en pensioenaangifte kunnen instellen, aanmaken en verzenden</w:t>
      </w:r>
    </w:p>
    <w:p w14:paraId="6D17C40B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Salaris- en HR documenten op de juiste manier gebruiken en interpreteren</w:t>
      </w:r>
    </w:p>
    <w:p w14:paraId="43C8CECF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Aanmaken van logins, debiteuren tags, en workflows</w:t>
      </w:r>
    </w:p>
    <w:p w14:paraId="09B2BBEF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HR managers en afdelingen instellen</w:t>
      </w:r>
    </w:p>
    <w:p w14:paraId="28E08669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Inrichten van mutatieformulieren</w:t>
      </w:r>
    </w:p>
    <w:p w14:paraId="489121AB" w14:textId="77777777" w:rsidR="0084777C" w:rsidRPr="0084777C" w:rsidRDefault="0084777C" w:rsidP="00847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r w:rsidRPr="0084777C">
        <w:rPr>
          <w:rFonts w:ascii="Source Sans Pro" w:eastAsia="Times New Roman" w:hAnsi="Source Sans Pro" w:cs="Times New Roman"/>
          <w:color w:val="7E89A3"/>
          <w:sz w:val="21"/>
          <w:szCs w:val="21"/>
        </w:rPr>
        <w:t>Verlof inrichten </w:t>
      </w:r>
    </w:p>
    <w:p w14:paraId="2317D247" w14:textId="77777777" w:rsidR="006A134E" w:rsidRDefault="006A134E"/>
    <w:sectPr w:rsidR="006A134E" w:rsidSect="006B3E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7A6"/>
    <w:multiLevelType w:val="multilevel"/>
    <w:tmpl w:val="C31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9185F"/>
    <w:multiLevelType w:val="multilevel"/>
    <w:tmpl w:val="4480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846CEB"/>
    <w:multiLevelType w:val="multilevel"/>
    <w:tmpl w:val="A0A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7C"/>
    <w:rsid w:val="006A134E"/>
    <w:rsid w:val="006B3E4C"/>
    <w:rsid w:val="008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1F9B65"/>
  <w15:chartTrackingRefBased/>
  <w15:docId w15:val="{54988A54-2F23-B844-9ED7-AA4FE79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77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77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77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Wendela van Dedem</dc:creator>
  <cp:keywords/>
  <dc:description/>
  <cp:lastModifiedBy>Wendela van Dedem</cp:lastModifiedBy>
  <cp:revision>1</cp:revision>
  <dcterms:created xsi:type="dcterms:W3CDTF">2019-05-08T13:44:00Z</dcterms:created>
  <dcterms:modified xsi:type="dcterms:W3CDTF">2019-05-08T13:45:00Z</dcterms:modified>
</cp:coreProperties>
</file>